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D05" w:rsidRDefault="00AB1D05">
      <w:pPr>
        <w:jc w:val="center"/>
      </w:pPr>
    </w:p>
    <w:p w:rsidR="00AB1D05" w:rsidRDefault="00AE113F">
      <w:pPr>
        <w:jc w:val="center"/>
      </w:pPr>
      <w:r>
        <w:rPr>
          <w:rFonts w:ascii="Arial" w:eastAsia="Arial" w:hAnsi="Arial" w:cs="Arial"/>
          <w:b/>
          <w:color w:val="4F81BD"/>
        </w:rPr>
        <w:t>SCHOOL OF NURSING</w:t>
      </w:r>
    </w:p>
    <w:p w:rsidR="00AB1D05" w:rsidRDefault="00AE113F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>MN506: Contract for Group Project</w:t>
      </w:r>
    </w:p>
    <w:p w:rsidR="00AB1D05" w:rsidRDefault="00AE113F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>Unit 2 Assignment – not graded</w:t>
      </w:r>
    </w:p>
    <w:p w:rsidR="00AB1D05" w:rsidRDefault="00AE113F">
      <w:bookmarkStart w:id="0" w:name="h.30j0zll" w:colFirst="0" w:colLast="0"/>
      <w:bookmarkEnd w:id="0"/>
      <w:r>
        <w:rPr>
          <w:rFonts w:ascii="Arial" w:eastAsia="Arial" w:hAnsi="Arial" w:cs="Arial"/>
          <w:sz w:val="24"/>
        </w:rPr>
        <w:t xml:space="preserve">As group members </w:t>
      </w:r>
      <w:r>
        <w:rPr>
          <w:rFonts w:ascii="Arial" w:eastAsia="Arial" w:hAnsi="Arial" w:cs="Arial"/>
          <w:sz w:val="24"/>
          <w:u w:val="single"/>
          <w:shd w:val="clear" w:color="auto" w:fill="BFBFBF"/>
        </w:rPr>
        <w:t>Students’ names go here</w:t>
      </w:r>
      <w:r>
        <w:rPr>
          <w:rFonts w:ascii="Arial" w:eastAsia="Arial" w:hAnsi="Arial" w:cs="Arial"/>
          <w:sz w:val="24"/>
        </w:rPr>
        <w:t xml:space="preserve"> assigned to </w:t>
      </w:r>
      <w:r>
        <w:rPr>
          <w:rFonts w:ascii="Arial" w:eastAsia="Arial" w:hAnsi="Arial" w:cs="Arial"/>
          <w:sz w:val="24"/>
          <w:u w:val="single"/>
        </w:rPr>
        <w:t>Group Name goes here</w:t>
      </w:r>
      <w:r>
        <w:rPr>
          <w:rFonts w:ascii="Arial" w:eastAsia="Arial" w:hAnsi="Arial" w:cs="Arial"/>
          <w:sz w:val="24"/>
        </w:rPr>
        <w:t>, we agree to work together to complete the project on time.  We understand the requirements of the project include a thorough discussion of the following issues:</w:t>
      </w:r>
      <w:r>
        <w:rPr>
          <w:rFonts w:ascii="Arial" w:eastAsia="Arial" w:hAnsi="Arial" w:cs="Arial"/>
        </w:rPr>
        <w:t xml:space="preserve"> </w:t>
      </w:r>
    </w:p>
    <w:p w:rsidR="00AB1D05" w:rsidRDefault="00AE113F">
      <w:r>
        <w:rPr>
          <w:rFonts w:ascii="Arial" w:eastAsia="Arial" w:hAnsi="Arial" w:cs="Arial"/>
          <w:sz w:val="24"/>
        </w:rPr>
        <w:t>1.  Liability issues</w:t>
      </w:r>
    </w:p>
    <w:p w:rsidR="00AB1D05" w:rsidRDefault="00AE113F">
      <w:r>
        <w:rPr>
          <w:rFonts w:ascii="Arial" w:eastAsia="Arial" w:hAnsi="Arial" w:cs="Arial"/>
          <w:sz w:val="24"/>
        </w:rPr>
        <w:t>2.  Parties involved and who should be sued</w:t>
      </w:r>
    </w:p>
    <w:p w:rsidR="00AB1D05" w:rsidRDefault="00AE113F">
      <w:r>
        <w:rPr>
          <w:rFonts w:ascii="Arial" w:eastAsia="Arial" w:hAnsi="Arial" w:cs="Arial"/>
          <w:sz w:val="24"/>
        </w:rPr>
        <w:t>3.  Defenses of the parties</w:t>
      </w:r>
    </w:p>
    <w:p w:rsidR="00AB1D05" w:rsidRDefault="00AE113F">
      <w:r>
        <w:rPr>
          <w:rFonts w:ascii="Arial" w:eastAsia="Arial" w:hAnsi="Arial" w:cs="Arial"/>
          <w:sz w:val="24"/>
        </w:rPr>
        <w:t>4.  Documents that the Plaintiff’s side will ask for and how they will be used</w:t>
      </w:r>
    </w:p>
    <w:p w:rsidR="00AB1D05" w:rsidRDefault="00AE113F">
      <w:r>
        <w:rPr>
          <w:rFonts w:ascii="Arial" w:eastAsia="Arial" w:hAnsi="Arial" w:cs="Arial"/>
          <w:sz w:val="24"/>
        </w:rPr>
        <w:t>5.  Standards of care</w:t>
      </w:r>
    </w:p>
    <w:p w:rsidR="00AB1D05" w:rsidRDefault="00AE113F">
      <w:r>
        <w:rPr>
          <w:rFonts w:ascii="Arial" w:eastAsia="Arial" w:hAnsi="Arial" w:cs="Arial"/>
          <w:sz w:val="24"/>
        </w:rPr>
        <w:t>6.  Duty, breach, damages and proximate cause</w:t>
      </w:r>
    </w:p>
    <w:p w:rsidR="00AB1D05" w:rsidRDefault="00AE113F">
      <w:r>
        <w:rPr>
          <w:rFonts w:ascii="Arial" w:eastAsia="Arial" w:hAnsi="Arial" w:cs="Arial"/>
          <w:sz w:val="24"/>
        </w:rPr>
        <w:t>7.  Insurance issues</w:t>
      </w:r>
    </w:p>
    <w:p w:rsidR="00AB1D05" w:rsidRDefault="00AE113F">
      <w:r>
        <w:rPr>
          <w:rFonts w:ascii="Arial" w:eastAsia="Arial" w:hAnsi="Arial" w:cs="Arial"/>
          <w:sz w:val="24"/>
        </w:rPr>
        <w:t>8.  Risk management issues before and after the incident</w:t>
      </w:r>
    </w:p>
    <w:p w:rsidR="00AB1D05" w:rsidRDefault="00AE113F">
      <w:r>
        <w:rPr>
          <w:rFonts w:ascii="Arial" w:eastAsia="Arial" w:hAnsi="Arial" w:cs="Arial"/>
          <w:sz w:val="24"/>
        </w:rPr>
        <w:t>9.  Documentation and mandatory reporting</w:t>
      </w:r>
    </w:p>
    <w:p w:rsidR="00AB1D05" w:rsidRDefault="00AE113F">
      <w:r>
        <w:rPr>
          <w:rFonts w:ascii="Arial" w:eastAsia="Arial" w:hAnsi="Arial" w:cs="Arial"/>
          <w:sz w:val="24"/>
        </w:rPr>
        <w:lastRenderedPageBreak/>
        <w:t>10. Who should write the incident report and what should it say?</w:t>
      </w:r>
    </w:p>
    <w:p w:rsidR="00AB1D05" w:rsidRDefault="00AE113F">
      <w:r>
        <w:rPr>
          <w:rFonts w:ascii="Arial" w:eastAsia="Arial" w:hAnsi="Arial" w:cs="Arial"/>
          <w:sz w:val="24"/>
        </w:rPr>
        <w:t xml:space="preserve">11. The doctrine of </w:t>
      </w:r>
      <w:proofErr w:type="spellStart"/>
      <w:r>
        <w:rPr>
          <w:rFonts w:ascii="Arial" w:eastAsia="Arial" w:hAnsi="Arial" w:cs="Arial"/>
          <w:sz w:val="24"/>
        </w:rPr>
        <w:t>Respondeat</w:t>
      </w:r>
      <w:proofErr w:type="spellEnd"/>
      <w:r>
        <w:rPr>
          <w:rFonts w:ascii="Arial" w:eastAsia="Arial" w:hAnsi="Arial" w:cs="Arial"/>
          <w:sz w:val="24"/>
        </w:rPr>
        <w:t xml:space="preserve"> Superior and how it would apply</w:t>
      </w:r>
    </w:p>
    <w:p w:rsidR="00AB1D05" w:rsidRDefault="00AE113F">
      <w:r>
        <w:rPr>
          <w:rFonts w:ascii="Arial" w:eastAsia="Arial" w:hAnsi="Arial" w:cs="Arial"/>
          <w:sz w:val="24"/>
        </w:rPr>
        <w:t>12. The issues surrounding informed consent</w:t>
      </w:r>
    </w:p>
    <w:p w:rsidR="00AB1D05" w:rsidRDefault="00AE113F">
      <w:r>
        <w:rPr>
          <w:rFonts w:ascii="Arial" w:eastAsia="Arial" w:hAnsi="Arial" w:cs="Arial"/>
          <w:sz w:val="24"/>
        </w:rPr>
        <w:t>13. Preparation for court of the parties</w:t>
      </w:r>
    </w:p>
    <w:p w:rsidR="00AB1D05" w:rsidRDefault="00AE113F">
      <w:r>
        <w:rPr>
          <w:rFonts w:ascii="Arial" w:eastAsia="Arial" w:hAnsi="Arial" w:cs="Arial"/>
          <w:b/>
          <w:sz w:val="28"/>
        </w:rPr>
        <w:t>The contract is to be sub</w:t>
      </w:r>
      <w:r w:rsidR="00DA3231">
        <w:rPr>
          <w:rFonts w:ascii="Arial" w:eastAsia="Arial" w:hAnsi="Arial" w:cs="Arial"/>
          <w:b/>
          <w:sz w:val="28"/>
        </w:rPr>
        <w:t>m</w:t>
      </w:r>
      <w:r>
        <w:rPr>
          <w:rFonts w:ascii="Arial" w:eastAsia="Arial" w:hAnsi="Arial" w:cs="Arial"/>
          <w:b/>
          <w:sz w:val="28"/>
        </w:rPr>
        <w:t>itted in the Team area in the left navigation tab of the course room under.</w:t>
      </w:r>
    </w:p>
    <w:p w:rsidR="00AB1D05" w:rsidRDefault="00AE113F">
      <w:pPr>
        <w:spacing w:before="0" w:after="200" w:line="276" w:lineRule="auto"/>
      </w:pPr>
      <w:r>
        <w:rPr>
          <w:rFonts w:ascii="Arial" w:eastAsia="Arial" w:hAnsi="Arial" w:cs="Arial"/>
          <w:b/>
          <w:sz w:val="24"/>
        </w:rPr>
        <w:t>Outline what will be accomplished in each unit:</w:t>
      </w:r>
    </w:p>
    <w:tbl>
      <w:tblPr>
        <w:tblStyle w:val="1"/>
        <w:tblW w:w="10440" w:type="dxa"/>
        <w:tblInd w:w="-457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6" w:space="0" w:color="262626"/>
          <w:insideV w:val="single" w:sz="6" w:space="0" w:color="262626"/>
        </w:tblBorders>
        <w:tblLayout w:type="fixed"/>
        <w:tblLook w:val="0400" w:firstRow="0" w:lastRow="0" w:firstColumn="0" w:lastColumn="0" w:noHBand="0" w:noVBand="1"/>
        <w:tblCaption w:val="Contract table"/>
        <w:tblDescription w:val="Contract Table"/>
      </w:tblPr>
      <w:tblGrid>
        <w:gridCol w:w="10170"/>
        <w:gridCol w:w="270"/>
      </w:tblGrid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Unit 2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  <w:bookmarkStart w:id="1" w:name="h.1fob9te" w:colFirst="0" w:colLast="0"/>
            <w:bookmarkEnd w:id="1"/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 xml:space="preserve">Unit 3 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Unit 4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Unit 5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c>
          <w:tcPr>
            <w:tcW w:w="10440" w:type="dxa"/>
            <w:gridSpan w:val="2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Unit 6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CCCCCC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Unit 7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EFEFEF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  <w:trHeight w:val="520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lastRenderedPageBreak/>
              <w:t>We have established these group rules: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FFFFFF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We have assigned these roles and responsibilities to individual members: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If a member of the group refuses to cooperate and impedes the progress of the project we will take these actions in this order: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shd w:val="clear" w:color="auto" w:fill="D9D9D9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b/>
                <w:color w:val="4F81BD"/>
                <w:sz w:val="28"/>
              </w:rPr>
              <w:t>Additional points of clarification:</w:t>
            </w: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5" w:rsidRDefault="00AB1D05">
            <w:pPr>
              <w:spacing w:before="60" w:after="60"/>
              <w:contextualSpacing w:val="0"/>
            </w:pPr>
          </w:p>
        </w:tc>
      </w:tr>
      <w:tr w:rsidR="00AB1D05">
        <w:trPr>
          <w:gridAfter w:val="1"/>
          <w:wAfter w:w="270" w:type="dxa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B1D05" w:rsidRDefault="00AE113F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color w:val="1155CC"/>
                <w:sz w:val="28"/>
              </w:rPr>
              <w:t>Contingencies of</w:t>
            </w:r>
            <w:r w:rsidR="00DA3231">
              <w:rPr>
                <w:rFonts w:ascii="Arial" w:eastAsia="Arial" w:hAnsi="Arial" w:cs="Arial"/>
                <w:color w:val="1155CC"/>
                <w:sz w:val="28"/>
              </w:rPr>
              <w:t xml:space="preserve"> a member gets sick or has an e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1155CC"/>
                <w:sz w:val="28"/>
              </w:rPr>
              <w:t>mergency</w:t>
            </w:r>
            <w:r>
              <w:rPr>
                <w:rFonts w:ascii="Arial" w:eastAsia="Arial" w:hAnsi="Arial" w:cs="Arial"/>
                <w:color w:val="4F81BD"/>
                <w:sz w:val="28"/>
              </w:rPr>
              <w:t>:</w:t>
            </w:r>
          </w:p>
        </w:tc>
      </w:tr>
    </w:tbl>
    <w:p w:rsidR="00AB1D05" w:rsidRDefault="00AB1D05">
      <w:pPr>
        <w:spacing w:before="0" w:after="200" w:line="276" w:lineRule="auto"/>
      </w:pPr>
    </w:p>
    <w:p w:rsidR="00AB1D05" w:rsidRDefault="00AE113F">
      <w:pPr>
        <w:spacing w:before="0" w:after="200" w:line="276" w:lineRule="auto"/>
      </w:pPr>
      <w:r>
        <w:rPr>
          <w:rFonts w:ascii="Arial" w:eastAsia="Arial" w:hAnsi="Arial" w:cs="Arial"/>
          <w:b/>
          <w:sz w:val="24"/>
        </w:rPr>
        <w:t xml:space="preserve">*Areas to meet as group include Google chat, Google Hangouts, Skype, </w:t>
      </w:r>
      <w:proofErr w:type="gramStart"/>
      <w:r>
        <w:rPr>
          <w:rFonts w:ascii="Arial" w:eastAsia="Arial" w:hAnsi="Arial" w:cs="Arial"/>
          <w:b/>
          <w:sz w:val="24"/>
        </w:rPr>
        <w:t>Yahoo</w:t>
      </w:r>
      <w:proofErr w:type="gramEnd"/>
      <w:r>
        <w:rPr>
          <w:rFonts w:ascii="Arial" w:eastAsia="Arial" w:hAnsi="Arial" w:cs="Arial"/>
          <w:b/>
          <w:sz w:val="24"/>
        </w:rPr>
        <w:t xml:space="preserve"> IM.  Google chat and Hang Outs are available in your Kaplan e-mail.  When you hold meetings outside you must appoint a person to take minutes and publish these meeting minutes.  Google Drive is a document sharing tool you may use. There is also a Team area in the course room. </w:t>
      </w:r>
    </w:p>
    <w:p w:rsidR="00AB1D05" w:rsidRDefault="00AB1D05">
      <w:pPr>
        <w:spacing w:before="0" w:after="0" w:line="276" w:lineRule="auto"/>
      </w:pPr>
    </w:p>
    <w:p w:rsidR="00AB1D05" w:rsidRDefault="00AB1D05">
      <w:pPr>
        <w:spacing w:before="0" w:after="0" w:line="276" w:lineRule="auto"/>
      </w:pPr>
    </w:p>
    <w:p w:rsidR="00AB1D05" w:rsidRDefault="00AB1D05">
      <w:pPr>
        <w:spacing w:before="0" w:after="0" w:line="276" w:lineRule="auto"/>
      </w:pPr>
    </w:p>
    <w:p w:rsidR="00AB1D05" w:rsidRDefault="00AE113F">
      <w:pPr>
        <w:spacing w:before="0" w:after="0" w:line="276" w:lineRule="auto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p w:rsidR="00AB1D05" w:rsidRDefault="00AB1D05">
      <w:pPr>
        <w:spacing w:before="0" w:after="200" w:line="276" w:lineRule="auto"/>
      </w:pPr>
    </w:p>
    <w:p w:rsidR="00AB1D05" w:rsidRDefault="00AB1D05">
      <w:pPr>
        <w:spacing w:after="0"/>
      </w:pPr>
    </w:p>
    <w:p w:rsidR="00AB1D05" w:rsidRDefault="00AB1D05"/>
    <w:sectPr w:rsidR="00AB1D05">
      <w:headerReference w:type="default" r:id="rId6"/>
      <w:footerReference w:type="default" r:id="rId7"/>
      <w:pgSz w:w="12240" w:h="15840"/>
      <w:pgMar w:top="108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3F" w:rsidRDefault="00AE113F">
      <w:pPr>
        <w:spacing w:before="0" w:after="0"/>
      </w:pPr>
      <w:r>
        <w:separator/>
      </w:r>
    </w:p>
  </w:endnote>
  <w:endnote w:type="continuationSeparator" w:id="0">
    <w:p w:rsidR="00AE113F" w:rsidRDefault="00AE11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05" w:rsidRDefault="00AB1D05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3F" w:rsidRDefault="00AE113F">
      <w:pPr>
        <w:spacing w:before="0" w:after="0"/>
      </w:pPr>
      <w:r>
        <w:separator/>
      </w:r>
    </w:p>
  </w:footnote>
  <w:footnote w:type="continuationSeparator" w:id="0">
    <w:p w:rsidR="00AE113F" w:rsidRDefault="00AE11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05" w:rsidRDefault="00AE113F">
    <w:pPr>
      <w:tabs>
        <w:tab w:val="center" w:pos="4320"/>
        <w:tab w:val="right" w:pos="8640"/>
      </w:tabs>
      <w:spacing w:before="720" w:after="160"/>
    </w:pPr>
    <w:r>
      <w:rPr>
        <w:noProof/>
      </w:rPr>
      <mc:AlternateContent>
        <mc:Choice Requires="wps">
          <w:drawing>
            <wp:inline distT="0" distB="0" distL="114300" distR="114300">
              <wp:extent cx="533400" cy="9258300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514252"/>
                        <a:ext cx="7559999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1D05" w:rsidRDefault="00AE113F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7F7F7F"/>
                              <w:sz w:val="24"/>
                            </w:rPr>
                            <w:t xml:space="preserve">Syllabus  </w:t>
                          </w:r>
                        </w:p>
                      </w:txbxContent>
                    </wps:txbx>
                    <wps:bodyPr lIns="91425" tIns="45700" rIns="109725" bIns="137150" anchor="ctr" anchorCtr="0"/>
                  </wps:wsp>
                </a:graphicData>
              </a:graphic>
            </wp:inline>
          </w:drawing>
        </mc:Choice>
        <mc:Fallback>
          <w:pict>
            <v:rect id="Rectangle 2" o:spid="_x0000_s1026" style="width:42pt;height:72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" filled="f" stroked="f">
              <v:textbox inset="2.53958mm,1.2694mm,3.04792mm,3.80972mm">
                <w:txbxContent>
                  <w:p w:rsidR="00AB1D05" w:rsidRDefault="00AE113F">
                    <w:pPr>
                      <w:spacing w:after="0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7F7F7F"/>
                        <w:sz w:val="24"/>
                      </w:rPr>
                      <w:t xml:space="preserve">Syllabus 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05"/>
    <w:rsid w:val="004E0EBA"/>
    <w:rsid w:val="00AB1D05"/>
    <w:rsid w:val="00AE113F"/>
    <w:rsid w:val="00D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E8886-B1D0-4D5F-992F-9B1D4D2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E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Harmon</dc:creator>
  <cp:lastModifiedBy>Joy Carr</cp:lastModifiedBy>
  <cp:revision>2</cp:revision>
  <dcterms:created xsi:type="dcterms:W3CDTF">2017-07-20T05:30:00Z</dcterms:created>
  <dcterms:modified xsi:type="dcterms:W3CDTF">2017-07-20T05:30:00Z</dcterms:modified>
</cp:coreProperties>
</file>